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 w:val="0"/>
          <w:bCs/>
          <w:sz w:val="32"/>
        </w:rPr>
      </w:pPr>
      <w:bookmarkStart w:id="0" w:name="_GoBack"/>
      <w:bookmarkEnd w:id="0"/>
      <w:r>
        <w:rPr>
          <w:rFonts w:hint="eastAsia" w:ascii="黑体" w:hAnsi="黑体" w:eastAsia="黑体" w:cs="黑体"/>
          <w:b w:val="0"/>
          <w:bCs/>
          <w:sz w:val="32"/>
        </w:rPr>
        <w:t>纺织行业计量技术规范项目建议书</w:t>
      </w:r>
    </w:p>
    <w:tbl>
      <w:tblPr>
        <w:tblStyle w:val="5"/>
        <w:tblW w:w="909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"/>
        <w:gridCol w:w="1134"/>
        <w:gridCol w:w="850"/>
        <w:gridCol w:w="851"/>
        <w:gridCol w:w="1559"/>
        <w:gridCol w:w="709"/>
        <w:gridCol w:w="1134"/>
        <w:gridCol w:w="20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cs="Arial"/>
                <w:sz w:val="24"/>
              </w:rPr>
              <w:t>建议项目名称</w:t>
            </w:r>
          </w:p>
        </w:tc>
        <w:tc>
          <w:tcPr>
            <w:tcW w:w="71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sz w:val="24"/>
              </w:rPr>
            </w:pPr>
            <w:r>
              <w:rPr>
                <w:rFonts w:ascii="Arial" w:cs="Arial"/>
                <w:sz w:val="24"/>
              </w:rPr>
              <w:t>棉花分级室模拟昼光照明校准规范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cs="Arial"/>
                <w:sz w:val="24"/>
              </w:rPr>
              <w:t>制定或修订</w:t>
            </w:r>
          </w:p>
        </w:tc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sym w:font="Wingdings 2" w:char="0052"/>
            </w:r>
            <w:r>
              <w:rPr>
                <w:rFonts w:ascii="Arial" w:cs="Arial"/>
                <w:sz w:val="24"/>
              </w:rPr>
              <w:t>制定</w:t>
            </w:r>
            <w:r>
              <w:rPr>
                <w:rFonts w:ascii="Arial" w:hAnsi="Arial" w:cs="Arial"/>
                <w:sz w:val="24"/>
              </w:rPr>
              <w:t xml:space="preserve">    </w:t>
            </w:r>
            <w:r>
              <w:rPr>
                <w:rFonts w:ascii="Arial" w:hAnsi="Arial" w:cs="Arial"/>
                <w:sz w:val="24"/>
              </w:rPr>
              <w:sym w:font="Wingdings 2" w:char="00A3"/>
            </w:r>
            <w:r>
              <w:rPr>
                <w:rFonts w:ascii="Arial" w:cs="Arial"/>
                <w:sz w:val="24"/>
              </w:rPr>
              <w:t>修订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cs="Arial"/>
                <w:sz w:val="24"/>
              </w:rPr>
              <w:t>被修订计量技术规范号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Arial" w:hAnsi="Arial" w:cs="Arial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atLeast"/>
          <w:jc w:val="center"/>
        </w:trPr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cs="Arial"/>
                <w:sz w:val="24"/>
              </w:rPr>
              <w:t>计量技术规范性质</w:t>
            </w:r>
          </w:p>
        </w:tc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sym w:font="Wingdings 2" w:char="00A3"/>
            </w:r>
            <w:r>
              <w:rPr>
                <w:rFonts w:ascii="Arial" w:cs="Arial"/>
                <w:sz w:val="24"/>
              </w:rPr>
              <w:t>检定规程</w:t>
            </w:r>
          </w:p>
          <w:p>
            <w:pPr>
              <w:spacing w:line="400" w:lineRule="exact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sym w:font="Wingdings 2" w:char="0052"/>
            </w:r>
            <w:r>
              <w:rPr>
                <w:rFonts w:ascii="Arial" w:cs="Arial"/>
                <w:sz w:val="24"/>
              </w:rPr>
              <w:t>校准规范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宋体" w:cs="Arial"/>
                <w:sz w:val="24"/>
              </w:rPr>
              <w:t>计量技术规范类别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sym w:font="Wingdings 2" w:char="00A3"/>
            </w:r>
            <w:r>
              <w:rPr>
                <w:rFonts w:ascii="Arial" w:cs="Arial"/>
                <w:sz w:val="24"/>
              </w:rPr>
              <w:t>重点</w:t>
            </w:r>
          </w:p>
          <w:p>
            <w:pPr>
              <w:spacing w:line="400" w:lineRule="exact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sym w:font="Wingdings 2" w:char="0052"/>
            </w:r>
            <w:r>
              <w:rPr>
                <w:rFonts w:ascii="Arial" w:cs="Arial"/>
                <w:sz w:val="24"/>
              </w:rPr>
              <w:t>基础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cs="Arial"/>
                <w:sz w:val="24"/>
              </w:rPr>
              <w:t>主要起草单位</w:t>
            </w:r>
          </w:p>
        </w:tc>
        <w:tc>
          <w:tcPr>
            <w:tcW w:w="71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cs="Arial"/>
                <w:sz w:val="24"/>
              </w:rPr>
              <w:t>四川省纤维检验局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cs="Arial"/>
                <w:color w:val="000000"/>
                <w:sz w:val="24"/>
              </w:rPr>
              <w:t>联系人</w:t>
            </w:r>
          </w:p>
        </w:tc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cs="Arial"/>
                <w:color w:val="000000"/>
                <w:sz w:val="24"/>
              </w:rPr>
              <w:t>朱福忠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cs="Arial"/>
                <w:color w:val="000000"/>
                <w:sz w:val="24"/>
              </w:rPr>
              <w:t>联系电话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13688009649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宋体" w:cs="Arial"/>
                <w:color w:val="000000"/>
                <w:sz w:val="24"/>
              </w:rPr>
              <w:t>任务年限</w:t>
            </w:r>
          </w:p>
        </w:tc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2019年-</w:t>
            </w:r>
            <w:r>
              <w:rPr>
                <w:color w:val="000000"/>
                <w:sz w:val="24"/>
                <w:szCs w:val="24"/>
              </w:rPr>
              <w:t>20</w:t>
            </w: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21</w:t>
            </w:r>
            <w:r>
              <w:rPr>
                <w:rFonts w:hint="eastAsia"/>
                <w:color w:val="000000"/>
                <w:sz w:val="24"/>
                <w:szCs w:val="24"/>
              </w:rPr>
              <w:t>年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宋体" w:cs="Arial"/>
                <w:color w:val="000000"/>
                <w:sz w:val="24"/>
              </w:rPr>
              <w:t>申请经费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Arial" w:hAnsi="Arial" w:cs="Arial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cs="Arial"/>
                <w:sz w:val="24"/>
              </w:rPr>
              <w:t>参加单位</w:t>
            </w:r>
          </w:p>
        </w:tc>
        <w:tc>
          <w:tcPr>
            <w:tcW w:w="71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cs="Arial"/>
                <w:sz w:val="24"/>
              </w:rPr>
              <w:t>四川省纤维纺织计量站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cs="Arial"/>
                <w:sz w:val="24"/>
              </w:rPr>
              <w:t>具备的特点</w:t>
            </w:r>
          </w:p>
        </w:tc>
        <w:tc>
          <w:tcPr>
            <w:tcW w:w="71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Chars="-155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sym w:font="Wingdings 2" w:char="00A3"/>
            </w:r>
            <w:r>
              <w:rPr>
                <w:rFonts w:ascii="Arial" w:cs="Arial"/>
                <w:sz w:val="24"/>
              </w:rPr>
              <w:t>安全</w:t>
            </w:r>
            <w:r>
              <w:rPr>
                <w:rFonts w:hint="eastAsia" w:ascii="Arial" w:cs="Arial"/>
                <w:sz w:val="24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sym w:font="Wingdings 2" w:char="00A3"/>
            </w:r>
            <w:r>
              <w:rPr>
                <w:rFonts w:ascii="Arial" w:cs="Arial"/>
                <w:sz w:val="24"/>
              </w:rPr>
              <w:t>节能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sym w:font="Wingdings 2" w:char="00A3"/>
            </w:r>
            <w:r>
              <w:rPr>
                <w:rFonts w:hint="eastAsia" w:ascii="Arial" w:hAnsi="Arial" w:cs="Arial"/>
                <w:sz w:val="24"/>
                <w:lang w:val="en-US" w:eastAsia="zh-CN"/>
              </w:rPr>
              <w:t xml:space="preserve"> </w:t>
            </w:r>
            <w:r>
              <w:rPr>
                <w:rFonts w:ascii="Arial" w:cs="Arial"/>
                <w:sz w:val="24"/>
              </w:rPr>
              <w:t>环保</w:t>
            </w:r>
            <w:r>
              <w:rPr>
                <w:rFonts w:hint="eastAsia" w:ascii="Arial" w:cs="Arial"/>
                <w:sz w:val="24"/>
                <w:lang w:val="en-US" w:eastAsia="zh-CN"/>
              </w:rPr>
              <w:t xml:space="preserve">  </w:t>
            </w:r>
            <w:r>
              <w:rPr>
                <w:rFonts w:ascii="Arial" w:hAnsi="Arial" w:cs="Arial"/>
                <w:sz w:val="24"/>
              </w:rPr>
              <w:sym w:font="Wingdings 2" w:char="00A3"/>
            </w:r>
            <w:r>
              <w:rPr>
                <w:rFonts w:ascii="Arial" w:cs="Arial"/>
                <w:sz w:val="24"/>
              </w:rPr>
              <w:t>自主创新</w:t>
            </w:r>
            <w:r>
              <w:rPr>
                <w:rFonts w:hint="eastAsia" w:ascii="Arial" w:cs="Arial"/>
                <w:sz w:val="24"/>
                <w:lang w:val="en-US" w:eastAsia="zh-CN"/>
              </w:rPr>
              <w:t xml:space="preserve">  </w:t>
            </w:r>
            <w:r>
              <w:rPr>
                <w:rFonts w:ascii="Arial" w:hAnsi="Arial" w:cs="Arial"/>
                <w:sz w:val="24"/>
              </w:rPr>
              <w:sym w:font="Wingdings 2" w:char="0052"/>
            </w:r>
            <w:r>
              <w:rPr>
                <w:rFonts w:ascii="Arial" w:cs="Arial"/>
                <w:sz w:val="24"/>
              </w:rPr>
              <w:t>其他</w:t>
            </w:r>
            <w:r>
              <w:rPr>
                <w:rFonts w:hint="eastAsia" w:ascii="Arial" w:cs="Arial"/>
                <w:sz w:val="24"/>
                <w:u w:val="single"/>
                <w:lang w:val="en-US" w:eastAsia="zh-CN"/>
              </w:rPr>
              <w:t xml:space="preserve">  产业急需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5" w:hRule="atLeast"/>
          <w:jc w:val="center"/>
        </w:trPr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cs="Arial"/>
                <w:sz w:val="24"/>
              </w:rPr>
              <w:t>目的、意义和</w:t>
            </w:r>
          </w:p>
          <w:p>
            <w:pPr>
              <w:spacing w:line="500" w:lineRule="exact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cs="Arial"/>
                <w:sz w:val="24"/>
              </w:rPr>
              <w:t>必要性</w:t>
            </w:r>
          </w:p>
        </w:tc>
        <w:tc>
          <w:tcPr>
            <w:tcW w:w="71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ascii="Arial" w:hAnsi="Arial" w:cs="Arial"/>
                <w:sz w:val="24"/>
              </w:rPr>
            </w:pPr>
            <w:r>
              <w:rPr>
                <w:rFonts w:ascii="Arial" w:cs="Arial"/>
                <w:sz w:val="24"/>
              </w:rPr>
              <w:t>模拟昼光照明是成熟度、色泽特征、轧工质量</w:t>
            </w:r>
            <w:r>
              <w:rPr>
                <w:rFonts w:hint="eastAsia" w:ascii="Arial" w:cs="Arial"/>
                <w:sz w:val="24"/>
              </w:rPr>
              <w:t>等</w:t>
            </w:r>
            <w:r>
              <w:rPr>
                <w:rFonts w:ascii="Arial" w:cs="Arial"/>
                <w:sz w:val="24"/>
              </w:rPr>
              <w:t>棉花分级</w:t>
            </w:r>
            <w:r>
              <w:rPr>
                <w:rFonts w:hint="eastAsia" w:ascii="Arial" w:cs="Arial"/>
                <w:sz w:val="24"/>
              </w:rPr>
              <w:t>检验的重要条件</w:t>
            </w:r>
            <w:r>
              <w:rPr>
                <w:rFonts w:hint="eastAsia" w:ascii="Arial" w:cs="Arial"/>
                <w:sz w:val="24"/>
                <w:lang w:eastAsia="zh-CN"/>
              </w:rPr>
              <w:t>。对此，</w:t>
            </w:r>
            <w:r>
              <w:rPr>
                <w:rFonts w:ascii="Arial" w:hAnsi="Arial" w:cs="Arial"/>
                <w:sz w:val="24"/>
              </w:rPr>
              <w:t>ISO 4911</w:t>
            </w:r>
            <w:r>
              <w:rPr>
                <w:rFonts w:ascii="Arial" w:cs="Arial"/>
                <w:sz w:val="24"/>
              </w:rPr>
              <w:t>《纺织材料</w:t>
            </w:r>
            <w:r>
              <w:rPr>
                <w:rFonts w:ascii="Arial" w:hAnsi="Arial" w:cs="Arial"/>
                <w:sz w:val="24"/>
              </w:rPr>
              <w:t>—</w:t>
            </w:r>
            <w:r>
              <w:rPr>
                <w:rFonts w:ascii="Arial" w:cs="Arial"/>
                <w:sz w:val="24"/>
              </w:rPr>
              <w:t>棉纤维</w:t>
            </w:r>
            <w:r>
              <w:rPr>
                <w:rFonts w:ascii="Arial" w:hAnsi="Arial" w:cs="Arial"/>
                <w:sz w:val="24"/>
              </w:rPr>
              <w:t>—</w:t>
            </w:r>
            <w:r>
              <w:rPr>
                <w:rFonts w:ascii="Arial" w:cs="Arial"/>
                <w:sz w:val="24"/>
              </w:rPr>
              <w:t>棉花分级室用设备和模拟昼光照明》</w:t>
            </w:r>
            <w:r>
              <w:rPr>
                <w:rFonts w:hint="eastAsia" w:ascii="Arial" w:cs="Arial"/>
                <w:sz w:val="24"/>
              </w:rPr>
              <w:t>、</w:t>
            </w:r>
            <w:r>
              <w:rPr>
                <w:rFonts w:ascii="Arial" w:hAnsi="Arial" w:cs="Arial"/>
                <w:sz w:val="24"/>
              </w:rPr>
              <w:t>GB/T 13786</w:t>
            </w:r>
            <w:r>
              <w:rPr>
                <w:rFonts w:ascii="Arial" w:cs="Arial"/>
                <w:sz w:val="24"/>
              </w:rPr>
              <w:t>《棉花分级室的模拟昼光照明》</w:t>
            </w:r>
            <w:r>
              <w:rPr>
                <w:rFonts w:hint="eastAsia" w:ascii="Arial" w:cs="Arial"/>
                <w:sz w:val="24"/>
              </w:rPr>
              <w:t>规定了</w:t>
            </w:r>
            <w:r>
              <w:rPr>
                <w:rFonts w:ascii="Arial" w:cs="Arial"/>
                <w:sz w:val="24"/>
              </w:rPr>
              <w:t>棉花分级室</w:t>
            </w:r>
            <w:r>
              <w:rPr>
                <w:rFonts w:hint="eastAsia" w:ascii="Arial" w:cs="Arial"/>
                <w:sz w:val="24"/>
                <w:lang w:eastAsia="zh-CN"/>
              </w:rPr>
              <w:t>的</w:t>
            </w:r>
            <w:r>
              <w:rPr>
                <w:rFonts w:ascii="Arial" w:cs="Arial"/>
                <w:sz w:val="24"/>
              </w:rPr>
              <w:t>光照度</w:t>
            </w:r>
            <w:r>
              <w:rPr>
                <w:rFonts w:hint="eastAsia" w:ascii="Arial" w:cs="Arial"/>
                <w:sz w:val="24"/>
              </w:rPr>
              <w:t>、相关色温等技术条件。</w:t>
            </w:r>
            <w:r>
              <w:rPr>
                <w:rFonts w:hint="eastAsia" w:ascii="Arial" w:cs="Arial"/>
                <w:sz w:val="24"/>
                <w:lang w:eastAsia="zh-CN"/>
              </w:rPr>
              <w:t>因此，需要对</w:t>
            </w:r>
            <w:r>
              <w:rPr>
                <w:rFonts w:ascii="Arial" w:cs="Arial"/>
                <w:sz w:val="24"/>
              </w:rPr>
              <w:t>棉花分级室模拟昼光照度</w:t>
            </w:r>
            <w:r>
              <w:rPr>
                <w:rFonts w:hint="eastAsia" w:ascii="Arial" w:cs="Arial"/>
                <w:sz w:val="24"/>
              </w:rPr>
              <w:t>、相关色温</w:t>
            </w:r>
            <w:r>
              <w:rPr>
                <w:rFonts w:hint="eastAsia" w:ascii="Arial" w:cs="Arial"/>
                <w:sz w:val="24"/>
                <w:lang w:eastAsia="zh-CN"/>
              </w:rPr>
              <w:t>进行校准，以保证检测数据的准确可靠和可溯源。但国内外目前没有</w:t>
            </w:r>
            <w:r>
              <w:rPr>
                <w:rFonts w:ascii="Arial" w:hAnsi="Arial" w:cs="Arial"/>
                <w:sz w:val="24"/>
              </w:rPr>
              <w:t>《棉花分级室模拟昼光照明校准规范》</w:t>
            </w:r>
            <w:r>
              <w:rPr>
                <w:rFonts w:hint="eastAsia" w:ascii="Arial" w:hAnsi="Arial" w:cs="Arial"/>
                <w:sz w:val="24"/>
                <w:lang w:eastAsia="zh-CN"/>
              </w:rPr>
              <w:t>，不能保证各机构开展校准时采取统一的技术要求和规范操作。因此，亟需在行业层面制定统一的技术规范，统一</w:t>
            </w:r>
            <w:r>
              <w:rPr>
                <w:rFonts w:ascii="Arial" w:cs="Arial"/>
                <w:sz w:val="24"/>
              </w:rPr>
              <w:t>棉花分级室模拟昼光照度</w:t>
            </w:r>
            <w:r>
              <w:rPr>
                <w:rFonts w:hint="eastAsia" w:ascii="Arial" w:cs="Arial"/>
                <w:sz w:val="24"/>
              </w:rPr>
              <w:t>、相关色温校准</w:t>
            </w:r>
            <w:r>
              <w:rPr>
                <w:rFonts w:hint="eastAsia" w:ascii="Arial" w:cs="Arial"/>
                <w:sz w:val="24"/>
                <w:lang w:eastAsia="zh-CN"/>
              </w:rPr>
              <w:t>用</w:t>
            </w:r>
            <w:r>
              <w:rPr>
                <w:rFonts w:hint="eastAsia" w:ascii="Arial" w:cs="Arial"/>
                <w:sz w:val="24"/>
              </w:rPr>
              <w:t>光度、色度等计量标准器具、校准方法，</w:t>
            </w:r>
            <w:r>
              <w:rPr>
                <w:rFonts w:hint="eastAsia" w:ascii="Arial" w:hAnsi="Arial" w:cs="Arial"/>
                <w:sz w:val="24"/>
                <w:lang w:eastAsia="zh-CN"/>
              </w:rPr>
              <w:t>以保证校准的有效实施。</w:t>
            </w:r>
            <w:r>
              <w:rPr>
                <w:rFonts w:hint="eastAsia" w:ascii="Arial" w:cs="Arial"/>
                <w:sz w:val="24"/>
                <w:lang w:eastAsia="zh-CN"/>
              </w:rPr>
              <w:t>该规范的制定</w:t>
            </w:r>
            <w:r>
              <w:rPr>
                <w:rFonts w:ascii="Arial" w:hAnsi="Arial" w:cs="Arial"/>
                <w:sz w:val="24"/>
              </w:rPr>
              <w:t>和实施，将为棉花分级</w:t>
            </w:r>
            <w:r>
              <w:rPr>
                <w:rFonts w:hint="eastAsia" w:ascii="Arial" w:hAnsi="Arial" w:cs="Arial"/>
                <w:sz w:val="24"/>
              </w:rPr>
              <w:t>检验</w:t>
            </w:r>
            <w:r>
              <w:rPr>
                <w:rFonts w:ascii="Arial" w:hAnsi="Arial" w:cs="Arial"/>
                <w:sz w:val="24"/>
              </w:rPr>
              <w:t>室</w:t>
            </w:r>
            <w:r>
              <w:rPr>
                <w:rFonts w:hint="eastAsia" w:ascii="Arial" w:hAnsi="Arial" w:cs="Arial"/>
                <w:sz w:val="24"/>
              </w:rPr>
              <w:t>模拟</w:t>
            </w:r>
            <w:r>
              <w:rPr>
                <w:rFonts w:ascii="Arial" w:hAnsi="Arial" w:cs="Arial"/>
                <w:sz w:val="24"/>
              </w:rPr>
              <w:t>昼光照度</w:t>
            </w:r>
            <w:r>
              <w:rPr>
                <w:rFonts w:hint="eastAsia" w:ascii="Arial" w:hAnsi="Arial" w:cs="Arial"/>
                <w:sz w:val="24"/>
              </w:rPr>
              <w:t>、</w:t>
            </w:r>
            <w:r>
              <w:rPr>
                <w:rFonts w:hint="eastAsia" w:ascii="Arial" w:cs="Arial"/>
                <w:sz w:val="24"/>
              </w:rPr>
              <w:t>相关色温</w:t>
            </w:r>
            <w:r>
              <w:rPr>
                <w:rFonts w:hint="eastAsia" w:ascii="Arial" w:hAnsi="Arial" w:cs="Arial"/>
                <w:sz w:val="24"/>
              </w:rPr>
              <w:t>校准</w:t>
            </w:r>
            <w:r>
              <w:rPr>
                <w:rFonts w:ascii="Arial" w:hAnsi="Arial" w:cs="Arial"/>
                <w:sz w:val="24"/>
              </w:rPr>
              <w:t>提供</w:t>
            </w:r>
            <w:r>
              <w:rPr>
                <w:rFonts w:hint="eastAsia" w:ascii="Arial" w:hAnsi="Arial" w:cs="Arial"/>
                <w:sz w:val="24"/>
                <w:lang w:eastAsia="zh-CN"/>
              </w:rPr>
              <w:t>统一的</w:t>
            </w:r>
            <w:r>
              <w:rPr>
                <w:rFonts w:ascii="Arial" w:hAnsi="Arial" w:cs="Arial"/>
                <w:sz w:val="24"/>
              </w:rPr>
              <w:t>技术</w:t>
            </w:r>
            <w:r>
              <w:rPr>
                <w:rFonts w:hint="eastAsia" w:ascii="Arial" w:hAnsi="Arial" w:cs="Arial"/>
                <w:sz w:val="24"/>
              </w:rPr>
              <w:t>依据</w:t>
            </w:r>
            <w:r>
              <w:rPr>
                <w:rFonts w:ascii="Arial" w:hAnsi="Arial" w:cs="Arial"/>
                <w:sz w:val="24"/>
              </w:rPr>
              <w:t>，</w:t>
            </w:r>
            <w:r>
              <w:rPr>
                <w:rFonts w:hint="eastAsia" w:ascii="Arial" w:hAnsi="Arial" w:cs="Arial"/>
                <w:sz w:val="24"/>
                <w:lang w:eastAsia="zh-CN"/>
              </w:rPr>
              <w:t>对保证</w:t>
            </w:r>
            <w:r>
              <w:rPr>
                <w:rFonts w:ascii="Arial" w:cs="Arial"/>
                <w:sz w:val="24"/>
              </w:rPr>
              <w:t>棉花分级</w:t>
            </w:r>
            <w:r>
              <w:rPr>
                <w:rFonts w:hint="eastAsia" w:ascii="Arial" w:cs="Arial"/>
                <w:sz w:val="24"/>
              </w:rPr>
              <w:t>检验</w:t>
            </w:r>
            <w:r>
              <w:rPr>
                <w:rFonts w:ascii="Arial" w:cs="Arial"/>
                <w:sz w:val="24"/>
              </w:rPr>
              <w:t>室昼光照明</w:t>
            </w:r>
            <w:r>
              <w:rPr>
                <w:rFonts w:hint="eastAsia" w:ascii="Arial" w:cs="Arial"/>
                <w:sz w:val="24"/>
              </w:rPr>
              <w:t>条件</w:t>
            </w:r>
            <w:r>
              <w:rPr>
                <w:rFonts w:ascii="Arial" w:cs="Arial"/>
                <w:sz w:val="24"/>
              </w:rPr>
              <w:t>符合</w:t>
            </w:r>
            <w:r>
              <w:rPr>
                <w:rFonts w:hint="eastAsia" w:ascii="Arial" w:cs="Arial"/>
                <w:sz w:val="24"/>
              </w:rPr>
              <w:t>标准</w:t>
            </w:r>
            <w:r>
              <w:rPr>
                <w:rFonts w:ascii="Arial" w:cs="Arial"/>
                <w:sz w:val="24"/>
              </w:rPr>
              <w:t>要求</w:t>
            </w:r>
            <w:r>
              <w:rPr>
                <w:rFonts w:hint="eastAsia" w:ascii="Arial" w:cs="Arial"/>
                <w:sz w:val="24"/>
                <w:lang w:eastAsia="zh-CN"/>
              </w:rPr>
              <w:t>、</w:t>
            </w:r>
            <w:r>
              <w:rPr>
                <w:rFonts w:ascii="Arial" w:hAnsi="Arial" w:cs="Arial"/>
                <w:sz w:val="24"/>
              </w:rPr>
              <w:t>分级</w:t>
            </w:r>
            <w:r>
              <w:rPr>
                <w:rFonts w:hint="eastAsia" w:ascii="Arial" w:hAnsi="Arial" w:cs="Arial"/>
                <w:sz w:val="24"/>
              </w:rPr>
              <w:t>检验的</w:t>
            </w:r>
            <w:r>
              <w:rPr>
                <w:rFonts w:ascii="Arial" w:hAnsi="Arial" w:cs="Arial"/>
                <w:sz w:val="24"/>
              </w:rPr>
              <w:t>数据和结</w:t>
            </w:r>
            <w:r>
              <w:rPr>
                <w:rFonts w:hint="eastAsia" w:ascii="Arial" w:hAnsi="Arial" w:cs="Arial"/>
                <w:sz w:val="24"/>
              </w:rPr>
              <w:t>论</w:t>
            </w:r>
            <w:r>
              <w:rPr>
                <w:rFonts w:ascii="Arial" w:hAnsi="Arial" w:cs="Arial"/>
                <w:sz w:val="24"/>
              </w:rPr>
              <w:t>准确可靠，有利于</w:t>
            </w:r>
            <w:r>
              <w:rPr>
                <w:rFonts w:hint="eastAsia" w:ascii="Arial" w:hAnsi="Arial" w:cs="Arial"/>
                <w:sz w:val="24"/>
              </w:rPr>
              <w:t>棉花交易结价</w:t>
            </w:r>
            <w:r>
              <w:rPr>
                <w:rFonts w:ascii="Arial" w:hAnsi="Arial" w:cs="Arial"/>
                <w:sz w:val="24"/>
              </w:rPr>
              <w:t>公平，具有良好的社会效益</w:t>
            </w:r>
            <w:r>
              <w:rPr>
                <w:rFonts w:hint="eastAsia" w:ascii="Arial" w:hAnsi="Arial" w:cs="Arial"/>
                <w:sz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Arial" w:hAnsi="Arial" w:eastAsia="宋体" w:cs="Arial"/>
                <w:sz w:val="24"/>
                <w:lang w:eastAsia="zh-CN"/>
              </w:rPr>
            </w:pPr>
            <w:r>
              <w:rPr>
                <w:rFonts w:ascii="Arial" w:hAnsi="Arial" w:cs="Arial"/>
                <w:sz w:val="24"/>
              </w:rPr>
              <w:t>四川省纤维检验局常年承担</w:t>
            </w:r>
            <w:r>
              <w:rPr>
                <w:rFonts w:hint="eastAsia" w:ascii="Arial" w:hAnsi="Arial" w:cs="Arial"/>
                <w:sz w:val="24"/>
              </w:rPr>
              <w:t>棉花公正检验</w:t>
            </w:r>
            <w:r>
              <w:rPr>
                <w:rFonts w:ascii="Arial" w:hAnsi="Arial" w:cs="Arial"/>
                <w:sz w:val="24"/>
              </w:rPr>
              <w:t>工作</w:t>
            </w:r>
            <w:r>
              <w:rPr>
                <w:rFonts w:hint="eastAsia" w:ascii="Arial" w:hAnsi="Arial" w:cs="Arial"/>
                <w:sz w:val="24"/>
              </w:rPr>
              <w:t>，建有国家棉花公正检验实验室（成都），业务管理的各地市纤检机构均建立棉花分级实验室，在新疆建立有国家棉花公正检验联合实验室</w:t>
            </w:r>
            <w:r>
              <w:rPr>
                <w:rFonts w:hint="eastAsia" w:ascii="Arial" w:hAnsi="Arial" w:cs="Arial"/>
                <w:sz w:val="24"/>
                <w:lang w:eastAsia="zh-CN"/>
              </w:rPr>
              <w:t>。</w:t>
            </w:r>
            <w:r>
              <w:rPr>
                <w:rFonts w:ascii="Arial" w:hAnsi="Arial" w:cs="Arial"/>
                <w:sz w:val="24"/>
              </w:rPr>
              <w:t>四川省纤维纺织计量站拥有数名工作经验丰富的一级、二级注册计量师</w:t>
            </w:r>
            <w:r>
              <w:rPr>
                <w:rFonts w:hint="eastAsia" w:ascii="Arial" w:hAnsi="Arial" w:cs="Arial"/>
                <w:sz w:val="24"/>
              </w:rPr>
              <w:t>，配备有多套高准确度等级的色彩</w:t>
            </w:r>
            <w:r>
              <w:rPr>
                <w:rFonts w:ascii="Arial" w:cs="Arial"/>
                <w:sz w:val="24"/>
              </w:rPr>
              <w:t>照度</w:t>
            </w:r>
            <w:r>
              <w:rPr>
                <w:rFonts w:hint="eastAsia" w:ascii="Arial" w:cs="Arial"/>
                <w:sz w:val="24"/>
              </w:rPr>
              <w:t>装置</w:t>
            </w:r>
            <w:r>
              <w:rPr>
                <w:rFonts w:hint="eastAsia" w:ascii="Arial" w:cs="Arial"/>
                <w:sz w:val="24"/>
                <w:lang w:eastAsia="zh-CN"/>
              </w:rPr>
              <w:t>，已开展了</w:t>
            </w:r>
            <w:r>
              <w:rPr>
                <w:rFonts w:hint="eastAsia" w:ascii="Arial" w:hAnsi="Arial" w:cs="Arial"/>
                <w:sz w:val="24"/>
              </w:rPr>
              <w:t>大量的前期工作，</w:t>
            </w:r>
            <w:r>
              <w:rPr>
                <w:rFonts w:hint="eastAsia" w:ascii="Arial" w:hAnsi="Arial" w:cs="Arial"/>
                <w:sz w:val="24"/>
                <w:lang w:eastAsia="zh-CN"/>
              </w:rPr>
              <w:t>为项目开展提供了条件。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8" w:hRule="atLeast"/>
          <w:jc w:val="center"/>
        </w:trPr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cs="Arial"/>
                <w:sz w:val="24"/>
              </w:rPr>
              <w:t>范围和主要</w:t>
            </w:r>
          </w:p>
          <w:p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cs="Arial"/>
                <w:sz w:val="24"/>
              </w:rPr>
              <w:t>计量特性</w:t>
            </w:r>
          </w:p>
        </w:tc>
        <w:tc>
          <w:tcPr>
            <w:tcW w:w="71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>
              <w:rPr>
                <w:rFonts w:ascii="Arial" w:cs="Arial"/>
                <w:sz w:val="24"/>
              </w:rPr>
              <w:t>、适用范围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ascii="Arial" w:hAnsi="Arial" w:cs="Arial"/>
                <w:sz w:val="24"/>
              </w:rPr>
            </w:pPr>
            <w:r>
              <w:rPr>
                <w:rFonts w:ascii="Arial" w:cs="Arial"/>
                <w:sz w:val="24"/>
              </w:rPr>
              <w:t>适用于棉花昼光分级检验实验室光照强度</w:t>
            </w:r>
            <w:r>
              <w:rPr>
                <w:rFonts w:hint="eastAsia" w:ascii="Arial" w:cs="Arial"/>
                <w:sz w:val="24"/>
              </w:rPr>
              <w:t>、</w:t>
            </w:r>
            <w:r>
              <w:rPr>
                <w:rFonts w:ascii="Arial" w:cs="Arial"/>
                <w:sz w:val="24"/>
              </w:rPr>
              <w:t>相关色温等参数的校准。</w:t>
            </w:r>
          </w:p>
          <w:p>
            <w:pPr>
              <w:spacing w:line="360" w:lineRule="auto"/>
              <w:jc w:val="lef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</w:t>
            </w:r>
            <w:r>
              <w:rPr>
                <w:rFonts w:ascii="Arial" w:cs="Arial"/>
                <w:sz w:val="24"/>
              </w:rPr>
              <w:t>、主要计量特性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ascii="Arial" w:hAnsi="Arial" w:cs="Arial"/>
                <w:bCs/>
                <w:spacing w:val="20"/>
                <w:sz w:val="24"/>
              </w:rPr>
            </w:pPr>
            <w:r>
              <w:rPr>
                <w:rFonts w:ascii="Arial" w:hAnsi="Arial" w:cs="Arial"/>
                <w:sz w:val="24"/>
              </w:rPr>
              <w:t>2.1</w:t>
            </w:r>
            <w:r>
              <w:rPr>
                <w:rFonts w:ascii="Arial" w:hAnsi="宋体" w:cs="Arial"/>
                <w:bCs/>
                <w:spacing w:val="20"/>
                <w:sz w:val="24"/>
              </w:rPr>
              <w:t>光照强度</w:t>
            </w:r>
            <w:r>
              <w:rPr>
                <w:rFonts w:ascii="Arial" w:hAnsi="Arial" w:cs="Arial"/>
                <w:bCs/>
                <w:spacing w:val="20"/>
                <w:sz w:val="24"/>
              </w:rPr>
              <w:t>E</w:t>
            </w:r>
            <w:r>
              <w:rPr>
                <w:rFonts w:ascii="Arial" w:hAnsi="宋体" w:cs="Arial"/>
                <w:bCs/>
                <w:spacing w:val="20"/>
                <w:sz w:val="24"/>
              </w:rPr>
              <w:t>：</w:t>
            </w:r>
            <w:r>
              <w:rPr>
                <w:rFonts w:hint="eastAsia" w:ascii="Arial" w:hAnsi="宋体" w:cs="Arial"/>
                <w:bCs/>
                <w:spacing w:val="20"/>
                <w:sz w:val="24"/>
              </w:rPr>
              <w:t>750</w:t>
            </w:r>
            <w:r>
              <w:rPr>
                <w:rFonts w:ascii="Arial" w:hAnsi="Arial" w:cs="Arial"/>
                <w:bCs/>
                <w:spacing w:val="20"/>
                <w:sz w:val="24"/>
              </w:rPr>
              <w:t xml:space="preserve"> lx±</w:t>
            </w:r>
            <w:r>
              <w:rPr>
                <w:rFonts w:hint="eastAsia" w:ascii="Arial" w:hAnsi="Arial" w:cs="Arial"/>
                <w:bCs/>
                <w:spacing w:val="20"/>
                <w:sz w:val="24"/>
              </w:rPr>
              <w:t>10</w:t>
            </w:r>
            <w:r>
              <w:rPr>
                <w:rFonts w:ascii="Arial" w:hAnsi="Arial" w:cs="Arial"/>
                <w:bCs/>
                <w:spacing w:val="20"/>
                <w:sz w:val="24"/>
              </w:rPr>
              <w:t>0 lx</w:t>
            </w:r>
            <w:r>
              <w:rPr>
                <w:rFonts w:hint="eastAsia" w:ascii="Arial" w:hAnsi="Arial" w:cs="Arial"/>
                <w:bCs/>
                <w:spacing w:val="20"/>
                <w:sz w:val="24"/>
              </w:rPr>
              <w:t>；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ascii="Arial" w:hAnsi="Arial" w:cs="Arial"/>
                <w:bCs/>
                <w:spacing w:val="20"/>
                <w:sz w:val="24"/>
              </w:rPr>
            </w:pPr>
            <w:r>
              <w:rPr>
                <w:rFonts w:ascii="Arial" w:hAnsi="Arial" w:cs="Arial"/>
                <w:sz w:val="24"/>
              </w:rPr>
              <w:t>2.2</w:t>
            </w:r>
            <w:r>
              <w:rPr>
                <w:rFonts w:ascii="Arial" w:hAnsi="宋体" w:cs="Arial"/>
                <w:bCs/>
                <w:spacing w:val="20"/>
                <w:sz w:val="24"/>
              </w:rPr>
              <w:t>相关色温：</w:t>
            </w:r>
            <w:r>
              <w:rPr>
                <w:rFonts w:ascii="Arial" w:hAnsi="Arial" w:cs="Arial"/>
                <w:bCs/>
                <w:spacing w:val="20"/>
                <w:sz w:val="24"/>
              </w:rPr>
              <w:t>7500 k ± 300 k</w:t>
            </w:r>
            <w:r>
              <w:rPr>
                <w:rFonts w:ascii="Arial" w:hAnsi="宋体" w:cs="Arial"/>
                <w:bCs/>
                <w:spacing w:val="20"/>
                <w:sz w:val="24"/>
              </w:rPr>
              <w:t>。</w:t>
            </w:r>
          </w:p>
          <w:p>
            <w:pPr>
              <w:spacing w:line="360" w:lineRule="auto"/>
              <w:jc w:val="lef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3</w:t>
            </w:r>
            <w:r>
              <w:rPr>
                <w:rFonts w:ascii="Arial" w:cs="Arial"/>
                <w:sz w:val="24"/>
              </w:rPr>
              <w:t>、计量项目</w:t>
            </w:r>
          </w:p>
          <w:p>
            <w:pPr>
              <w:spacing w:line="360" w:lineRule="auto"/>
              <w:ind w:firstLine="560" w:firstLineChars="200"/>
              <w:jc w:val="left"/>
              <w:rPr>
                <w:rFonts w:ascii="Arial" w:hAnsi="Arial" w:cs="Arial"/>
                <w:sz w:val="24"/>
              </w:rPr>
            </w:pPr>
            <w:r>
              <w:rPr>
                <w:rFonts w:ascii="Arial" w:hAnsi="宋体" w:cs="Arial"/>
                <w:bCs/>
                <w:spacing w:val="20"/>
                <w:sz w:val="24"/>
              </w:rPr>
              <w:t>光照强度</w:t>
            </w:r>
            <w:r>
              <w:rPr>
                <w:rFonts w:ascii="Arial" w:cs="Arial"/>
                <w:sz w:val="24"/>
              </w:rPr>
              <w:t>、相关色温。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cs="Arial"/>
                <w:sz w:val="24"/>
              </w:rPr>
              <w:t>水平</w:t>
            </w:r>
          </w:p>
        </w:tc>
        <w:tc>
          <w:tcPr>
            <w:tcW w:w="71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hint="eastAsia"/>
                <w:sz w:val="28"/>
                <w:szCs w:val="28"/>
              </w:rPr>
              <w:sym w:font="Wingdings 2" w:char="00A3"/>
            </w:r>
            <w:r>
              <w:rPr>
                <w:rFonts w:ascii="Arial" w:cs="Arial"/>
                <w:sz w:val="24"/>
              </w:rPr>
              <w:t>国际先进</w:t>
            </w:r>
            <w:r>
              <w:rPr>
                <w:rFonts w:ascii="Arial" w:hAnsi="Arial" w:cs="Arial"/>
                <w:sz w:val="24"/>
              </w:rPr>
              <w:t xml:space="preserve">        </w:t>
            </w:r>
            <w:r>
              <w:rPr>
                <w:rFonts w:hint="eastAsia"/>
                <w:sz w:val="28"/>
                <w:szCs w:val="28"/>
              </w:rPr>
              <w:sym w:font="Wingdings 2" w:char="0052"/>
            </w:r>
            <w:r>
              <w:rPr>
                <w:rFonts w:ascii="Arial" w:cs="Arial"/>
                <w:sz w:val="24"/>
              </w:rPr>
              <w:t>国内先进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4" w:hRule="atLeast"/>
          <w:jc w:val="center"/>
        </w:trPr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cs="Arial"/>
                <w:sz w:val="24"/>
              </w:rPr>
              <w:t>国内外情况</w:t>
            </w:r>
          </w:p>
          <w:p>
            <w:pPr>
              <w:spacing w:line="500" w:lineRule="exact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cs="Arial"/>
                <w:sz w:val="24"/>
              </w:rPr>
              <w:t>简要说明</w:t>
            </w:r>
          </w:p>
        </w:tc>
        <w:tc>
          <w:tcPr>
            <w:tcW w:w="71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>
              <w:rPr>
                <w:rFonts w:ascii="Arial" w:cs="Arial"/>
                <w:sz w:val="24"/>
              </w:rPr>
              <w:t>、与国内相关技术规范之间的关系</w:t>
            </w:r>
          </w:p>
          <w:p>
            <w:pPr>
              <w:spacing w:line="360" w:lineRule="auto"/>
              <w:ind w:firstLine="480"/>
              <w:jc w:val="left"/>
              <w:rPr>
                <w:rFonts w:ascii="Arial" w:hAnsi="Arial" w:cs="Arial"/>
                <w:sz w:val="24"/>
              </w:rPr>
            </w:pPr>
            <w:r>
              <w:rPr>
                <w:rFonts w:ascii="Arial" w:cs="Arial"/>
                <w:sz w:val="24"/>
              </w:rPr>
              <w:t>国际标准</w:t>
            </w:r>
            <w:r>
              <w:rPr>
                <w:rFonts w:ascii="Arial" w:hAnsi="Arial" w:cs="Arial"/>
                <w:sz w:val="24"/>
              </w:rPr>
              <w:t>ISO 4911</w:t>
            </w:r>
            <w:r>
              <w:rPr>
                <w:rFonts w:ascii="Arial" w:cs="Arial"/>
                <w:sz w:val="24"/>
              </w:rPr>
              <w:t>《纺织材料</w:t>
            </w:r>
            <w:r>
              <w:rPr>
                <w:rFonts w:ascii="Arial" w:hAnsi="Arial" w:cs="Arial"/>
                <w:sz w:val="24"/>
              </w:rPr>
              <w:t>—</w:t>
            </w:r>
            <w:r>
              <w:rPr>
                <w:rFonts w:ascii="Arial" w:cs="Arial"/>
                <w:sz w:val="24"/>
              </w:rPr>
              <w:t>棉纤维</w:t>
            </w:r>
            <w:r>
              <w:rPr>
                <w:rFonts w:ascii="Arial" w:hAnsi="Arial" w:cs="Arial"/>
                <w:sz w:val="24"/>
              </w:rPr>
              <w:t>—</w:t>
            </w:r>
            <w:r>
              <w:rPr>
                <w:rFonts w:ascii="Arial" w:cs="Arial"/>
                <w:sz w:val="24"/>
              </w:rPr>
              <w:t>棉花分级室用设备和模拟昼光照明》及国家标准</w:t>
            </w:r>
            <w:r>
              <w:rPr>
                <w:rFonts w:ascii="Arial" w:hAnsi="Arial" w:cs="Arial"/>
                <w:sz w:val="24"/>
              </w:rPr>
              <w:t>GB/T 13786</w:t>
            </w:r>
            <w:r>
              <w:rPr>
                <w:rFonts w:ascii="Arial" w:cs="Arial"/>
                <w:sz w:val="24"/>
              </w:rPr>
              <w:t>《棉花分级室的模拟昼光照明》规定了棉花分级室必须具备适当的光照度、色温及其它环境条件。《</w:t>
            </w:r>
            <w:r>
              <w:rPr>
                <w:rFonts w:ascii="Arial" w:hAnsi="Arial" w:cs="Arial"/>
                <w:sz w:val="24"/>
              </w:rPr>
              <w:t>棉花分级室模拟昼光照明校准规范</w:t>
            </w:r>
            <w:r>
              <w:rPr>
                <w:rFonts w:ascii="Arial" w:cs="Arial"/>
                <w:sz w:val="24"/>
              </w:rPr>
              <w:t>》</w:t>
            </w:r>
            <w:r>
              <w:rPr>
                <w:rFonts w:hint="eastAsia" w:ascii="Arial" w:cs="Arial"/>
                <w:sz w:val="24"/>
              </w:rPr>
              <w:t>将</w:t>
            </w:r>
            <w:r>
              <w:rPr>
                <w:rFonts w:ascii="Arial" w:hAnsi="Arial" w:cs="Arial"/>
                <w:sz w:val="24"/>
              </w:rPr>
              <w:t>用于在实验室</w:t>
            </w:r>
            <w:r>
              <w:rPr>
                <w:rFonts w:ascii="Arial" w:cs="Arial"/>
                <w:sz w:val="24"/>
              </w:rPr>
              <w:t>模拟昼光</w:t>
            </w:r>
            <w:r>
              <w:rPr>
                <w:rFonts w:ascii="Arial" w:hAnsi="Arial" w:cs="Arial"/>
                <w:sz w:val="24"/>
              </w:rPr>
              <w:t>照明条件的校准。</w:t>
            </w:r>
          </w:p>
          <w:p>
            <w:pPr>
              <w:spacing w:line="360" w:lineRule="auto"/>
              <w:jc w:val="lef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</w:t>
            </w:r>
            <w:r>
              <w:rPr>
                <w:rFonts w:ascii="Arial" w:cs="Arial"/>
                <w:sz w:val="24"/>
              </w:rPr>
              <w:t>、知识产权问题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ascii="Arial" w:hAnsi="Arial" w:cs="Arial"/>
                <w:sz w:val="24"/>
              </w:rPr>
            </w:pPr>
            <w:r>
              <w:rPr>
                <w:rFonts w:ascii="Arial" w:cs="Arial"/>
                <w:sz w:val="24"/>
              </w:rPr>
              <w:t>无知识产权和专利问题。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8" w:hRule="atLeast"/>
          <w:jc w:val="center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cs="Arial"/>
                <w:sz w:val="24"/>
              </w:rPr>
              <w:t>主要</w:t>
            </w:r>
          </w:p>
          <w:p>
            <w:pPr>
              <w:spacing w:line="500" w:lineRule="exact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cs="Arial"/>
                <w:sz w:val="24"/>
              </w:rPr>
              <w:t>起草单位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cs="Arial"/>
                <w:sz w:val="24"/>
              </w:rPr>
              <w:t>（签字、盖公章）</w:t>
            </w:r>
          </w:p>
          <w:p>
            <w:pPr>
              <w:spacing w:line="500" w:lineRule="exact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 </w:t>
            </w:r>
          </w:p>
          <w:p>
            <w:pPr>
              <w:spacing w:line="500" w:lineRule="exact"/>
              <w:jc w:val="center"/>
              <w:rPr>
                <w:rFonts w:ascii="Arial" w:hAnsi="Arial" w:cs="Arial"/>
                <w:sz w:val="24"/>
              </w:rPr>
            </w:pPr>
          </w:p>
          <w:p>
            <w:pPr>
              <w:spacing w:line="500" w:lineRule="exact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cs="Arial"/>
                <w:sz w:val="24"/>
              </w:rPr>
              <w:t>月</w:t>
            </w:r>
            <w:r>
              <w:rPr>
                <w:rFonts w:ascii="Arial" w:hAnsi="Arial" w:cs="Arial"/>
                <w:sz w:val="24"/>
              </w:rPr>
              <w:t xml:space="preserve">  </w:t>
            </w:r>
            <w:r>
              <w:rPr>
                <w:rFonts w:ascii="Arial" w:cs="Arial"/>
                <w:sz w:val="24"/>
              </w:rPr>
              <w:t>日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cs="Arial"/>
                <w:sz w:val="24"/>
              </w:rPr>
              <w:t>技术</w:t>
            </w:r>
          </w:p>
          <w:p>
            <w:pPr>
              <w:spacing w:line="500" w:lineRule="exact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cs="Arial"/>
                <w:sz w:val="24"/>
              </w:rPr>
              <w:t>委员会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cs="Arial"/>
                <w:sz w:val="24"/>
              </w:rPr>
              <w:t>（盖公章）</w:t>
            </w:r>
          </w:p>
          <w:p>
            <w:pPr>
              <w:spacing w:line="500" w:lineRule="exact"/>
              <w:jc w:val="center"/>
              <w:rPr>
                <w:rFonts w:ascii="Arial" w:hAnsi="Arial" w:cs="Arial"/>
                <w:sz w:val="24"/>
              </w:rPr>
            </w:pPr>
          </w:p>
          <w:p>
            <w:pPr>
              <w:spacing w:line="500" w:lineRule="exact"/>
              <w:jc w:val="center"/>
              <w:rPr>
                <w:rFonts w:ascii="Arial" w:hAnsi="Arial" w:cs="Arial"/>
                <w:sz w:val="24"/>
              </w:rPr>
            </w:pPr>
          </w:p>
          <w:p>
            <w:pPr>
              <w:spacing w:line="500" w:lineRule="exact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cs="Arial"/>
                <w:sz w:val="24"/>
              </w:rPr>
              <w:t>月</w:t>
            </w:r>
            <w:r>
              <w:rPr>
                <w:rFonts w:ascii="Arial" w:hAnsi="Arial" w:cs="Arial"/>
                <w:sz w:val="24"/>
              </w:rPr>
              <w:t xml:space="preserve">  </w:t>
            </w:r>
            <w:r>
              <w:rPr>
                <w:rFonts w:ascii="Arial" w:cs="Arial"/>
                <w:sz w:val="24"/>
              </w:rPr>
              <w:t>日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cs="Arial"/>
                <w:sz w:val="24"/>
              </w:rPr>
              <w:t>部委托</w:t>
            </w:r>
          </w:p>
          <w:p>
            <w:pPr>
              <w:spacing w:line="500" w:lineRule="exact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cs="Arial"/>
                <w:sz w:val="24"/>
              </w:rPr>
              <w:t>支撑</w:t>
            </w:r>
          </w:p>
          <w:p>
            <w:pPr>
              <w:spacing w:line="500" w:lineRule="exact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cs="Arial"/>
                <w:sz w:val="24"/>
              </w:rPr>
              <w:t>单位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cs="Arial"/>
                <w:sz w:val="24"/>
              </w:rPr>
              <w:t>（盖公章）</w:t>
            </w:r>
          </w:p>
          <w:p>
            <w:pPr>
              <w:spacing w:line="500" w:lineRule="exact"/>
              <w:jc w:val="center"/>
              <w:rPr>
                <w:rFonts w:ascii="Arial" w:hAnsi="Arial" w:cs="Arial"/>
                <w:sz w:val="24"/>
              </w:rPr>
            </w:pPr>
          </w:p>
          <w:p>
            <w:pPr>
              <w:spacing w:line="500" w:lineRule="exact"/>
              <w:jc w:val="center"/>
              <w:rPr>
                <w:rFonts w:ascii="Arial" w:hAnsi="Arial" w:cs="Arial"/>
                <w:sz w:val="24"/>
              </w:rPr>
            </w:pPr>
          </w:p>
          <w:p>
            <w:pPr>
              <w:spacing w:line="500" w:lineRule="exact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cs="Arial"/>
                <w:sz w:val="24"/>
              </w:rPr>
              <w:t>月</w:t>
            </w:r>
            <w:r>
              <w:rPr>
                <w:rFonts w:ascii="Arial" w:hAnsi="Arial" w:cs="Arial"/>
                <w:sz w:val="24"/>
              </w:rPr>
              <w:t xml:space="preserve">  </w:t>
            </w:r>
            <w:r>
              <w:rPr>
                <w:rFonts w:ascii="Arial" w:cs="Arial"/>
                <w:sz w:val="24"/>
              </w:rPr>
              <w:t>日</w:t>
            </w:r>
          </w:p>
        </w:tc>
      </w:tr>
    </w:tbl>
    <w:p>
      <w:r>
        <w:rPr>
          <w:rFonts w:hint="eastAsia"/>
        </w:rPr>
        <w:t>填写说明：1.表中第</w:t>
      </w:r>
      <w:r>
        <w:t>2</w:t>
      </w:r>
      <w:r>
        <w:rPr>
          <w:rFonts w:hint="eastAsia"/>
        </w:rPr>
        <w:t>，</w:t>
      </w:r>
      <w:r>
        <w:t>3</w:t>
      </w:r>
      <w:r>
        <w:rPr>
          <w:rFonts w:hint="eastAsia"/>
        </w:rPr>
        <w:t>，8行，请在选定的内容上填写 “</w:t>
      </w:r>
      <w:r>
        <w:rPr>
          <w:rFonts w:ascii="Arial" w:hAnsi="Arial" w:cs="Arial"/>
          <w:sz w:val="24"/>
        </w:rPr>
        <w:sym w:font="Wingdings 2" w:char="0052"/>
      </w:r>
      <w:r>
        <w:rPr>
          <w:rFonts w:hint="eastAsia"/>
        </w:rPr>
        <w:t>”的符号。</w:t>
      </w:r>
    </w:p>
    <w:p>
      <w:pPr>
        <w:rPr>
          <w:szCs w:val="21"/>
        </w:rPr>
      </w:pPr>
      <w:r>
        <w:rPr>
          <w:rFonts w:hint="eastAsia"/>
        </w:rPr>
        <w:t xml:space="preserve">          </w:t>
      </w:r>
      <w:r>
        <w:rPr>
          <w:rFonts w:hint="eastAsia"/>
          <w:szCs w:val="21"/>
        </w:rPr>
        <w:t>2.填写制定或修订项目中，若选择修订则必须填写被修订计量技术规范号。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5575B"/>
    <w:rsid w:val="000006BC"/>
    <w:rsid w:val="00010B90"/>
    <w:rsid w:val="00041739"/>
    <w:rsid w:val="00041F1D"/>
    <w:rsid w:val="00043796"/>
    <w:rsid w:val="00052017"/>
    <w:rsid w:val="00055EE1"/>
    <w:rsid w:val="0007006F"/>
    <w:rsid w:val="00072280"/>
    <w:rsid w:val="00077A0B"/>
    <w:rsid w:val="00085574"/>
    <w:rsid w:val="000A0AC7"/>
    <w:rsid w:val="000B0E5E"/>
    <w:rsid w:val="000B7EB7"/>
    <w:rsid w:val="000C5F69"/>
    <w:rsid w:val="000D33EF"/>
    <w:rsid w:val="000E4F9A"/>
    <w:rsid w:val="001058F8"/>
    <w:rsid w:val="00110571"/>
    <w:rsid w:val="00110E12"/>
    <w:rsid w:val="00111812"/>
    <w:rsid w:val="00122FB6"/>
    <w:rsid w:val="00133DB5"/>
    <w:rsid w:val="001343D3"/>
    <w:rsid w:val="00155DA7"/>
    <w:rsid w:val="00157B5C"/>
    <w:rsid w:val="001661A1"/>
    <w:rsid w:val="00177FAB"/>
    <w:rsid w:val="00180C23"/>
    <w:rsid w:val="001A2BFE"/>
    <w:rsid w:val="001A5EDA"/>
    <w:rsid w:val="001C01F7"/>
    <w:rsid w:val="001C3DEF"/>
    <w:rsid w:val="001C54E6"/>
    <w:rsid w:val="001E646E"/>
    <w:rsid w:val="001E6CFF"/>
    <w:rsid w:val="001E7765"/>
    <w:rsid w:val="001F2316"/>
    <w:rsid w:val="00222D17"/>
    <w:rsid w:val="0023072F"/>
    <w:rsid w:val="00232CFE"/>
    <w:rsid w:val="00236B01"/>
    <w:rsid w:val="00256559"/>
    <w:rsid w:val="00264324"/>
    <w:rsid w:val="0028162C"/>
    <w:rsid w:val="002830D0"/>
    <w:rsid w:val="00292B96"/>
    <w:rsid w:val="002C1FBD"/>
    <w:rsid w:val="002E02E3"/>
    <w:rsid w:val="002E12FE"/>
    <w:rsid w:val="002E162B"/>
    <w:rsid w:val="00307799"/>
    <w:rsid w:val="00314CCE"/>
    <w:rsid w:val="00337601"/>
    <w:rsid w:val="00374B92"/>
    <w:rsid w:val="003B1096"/>
    <w:rsid w:val="003C06E0"/>
    <w:rsid w:val="003D0FF6"/>
    <w:rsid w:val="003D76BF"/>
    <w:rsid w:val="003F03AB"/>
    <w:rsid w:val="003F768E"/>
    <w:rsid w:val="00400A51"/>
    <w:rsid w:val="004154BC"/>
    <w:rsid w:val="00424859"/>
    <w:rsid w:val="00455299"/>
    <w:rsid w:val="00485321"/>
    <w:rsid w:val="00491D5F"/>
    <w:rsid w:val="004935C5"/>
    <w:rsid w:val="004E0CA6"/>
    <w:rsid w:val="00504707"/>
    <w:rsid w:val="005067E7"/>
    <w:rsid w:val="005159DD"/>
    <w:rsid w:val="0053691F"/>
    <w:rsid w:val="0054157A"/>
    <w:rsid w:val="005472B7"/>
    <w:rsid w:val="0055396F"/>
    <w:rsid w:val="00565B6C"/>
    <w:rsid w:val="005721EA"/>
    <w:rsid w:val="00572447"/>
    <w:rsid w:val="005B18D5"/>
    <w:rsid w:val="005C6811"/>
    <w:rsid w:val="005F76A7"/>
    <w:rsid w:val="00602880"/>
    <w:rsid w:val="00630B1E"/>
    <w:rsid w:val="00633FE5"/>
    <w:rsid w:val="00652F4C"/>
    <w:rsid w:val="006B0E56"/>
    <w:rsid w:val="006B1754"/>
    <w:rsid w:val="006C5768"/>
    <w:rsid w:val="006D06F4"/>
    <w:rsid w:val="007025EB"/>
    <w:rsid w:val="00702E3B"/>
    <w:rsid w:val="00705C27"/>
    <w:rsid w:val="007061CE"/>
    <w:rsid w:val="00723A4D"/>
    <w:rsid w:val="007256B0"/>
    <w:rsid w:val="007266EB"/>
    <w:rsid w:val="00735A4B"/>
    <w:rsid w:val="00737309"/>
    <w:rsid w:val="00745EAE"/>
    <w:rsid w:val="007543D6"/>
    <w:rsid w:val="00785352"/>
    <w:rsid w:val="007A6F03"/>
    <w:rsid w:val="007B4BF3"/>
    <w:rsid w:val="007C3022"/>
    <w:rsid w:val="007E4B9D"/>
    <w:rsid w:val="00802C59"/>
    <w:rsid w:val="00830CC3"/>
    <w:rsid w:val="008344E7"/>
    <w:rsid w:val="008537E6"/>
    <w:rsid w:val="0087182F"/>
    <w:rsid w:val="00874283"/>
    <w:rsid w:val="00874838"/>
    <w:rsid w:val="008A1EFC"/>
    <w:rsid w:val="008A6BE1"/>
    <w:rsid w:val="008A76D4"/>
    <w:rsid w:val="008B5911"/>
    <w:rsid w:val="008E6A00"/>
    <w:rsid w:val="008F1C22"/>
    <w:rsid w:val="00913974"/>
    <w:rsid w:val="00930927"/>
    <w:rsid w:val="0093287F"/>
    <w:rsid w:val="00947404"/>
    <w:rsid w:val="00947F5B"/>
    <w:rsid w:val="00961A7C"/>
    <w:rsid w:val="0097408C"/>
    <w:rsid w:val="00983B0D"/>
    <w:rsid w:val="00987369"/>
    <w:rsid w:val="009910EC"/>
    <w:rsid w:val="009B4206"/>
    <w:rsid w:val="009B7382"/>
    <w:rsid w:val="009C1135"/>
    <w:rsid w:val="009E6B9E"/>
    <w:rsid w:val="009F729F"/>
    <w:rsid w:val="00A10B27"/>
    <w:rsid w:val="00A244D4"/>
    <w:rsid w:val="00A370ED"/>
    <w:rsid w:val="00A47EB0"/>
    <w:rsid w:val="00A523D8"/>
    <w:rsid w:val="00A8772E"/>
    <w:rsid w:val="00AA235A"/>
    <w:rsid w:val="00AB20CA"/>
    <w:rsid w:val="00AB3F68"/>
    <w:rsid w:val="00AB5985"/>
    <w:rsid w:val="00AC4F83"/>
    <w:rsid w:val="00AD1931"/>
    <w:rsid w:val="00AE52CB"/>
    <w:rsid w:val="00AF6829"/>
    <w:rsid w:val="00B32240"/>
    <w:rsid w:val="00B5767B"/>
    <w:rsid w:val="00B62B3C"/>
    <w:rsid w:val="00BE1274"/>
    <w:rsid w:val="00BE1FAE"/>
    <w:rsid w:val="00BF4FF7"/>
    <w:rsid w:val="00C2561C"/>
    <w:rsid w:val="00C479A2"/>
    <w:rsid w:val="00C558B4"/>
    <w:rsid w:val="00CA0BD5"/>
    <w:rsid w:val="00CC0965"/>
    <w:rsid w:val="00CD1917"/>
    <w:rsid w:val="00CD4296"/>
    <w:rsid w:val="00CF7F85"/>
    <w:rsid w:val="00D0572E"/>
    <w:rsid w:val="00D13EF9"/>
    <w:rsid w:val="00D46411"/>
    <w:rsid w:val="00D5575B"/>
    <w:rsid w:val="00D56D6E"/>
    <w:rsid w:val="00D660EE"/>
    <w:rsid w:val="00D87786"/>
    <w:rsid w:val="00D92974"/>
    <w:rsid w:val="00DB01B4"/>
    <w:rsid w:val="00DC2302"/>
    <w:rsid w:val="00DE3F1E"/>
    <w:rsid w:val="00DE7E4B"/>
    <w:rsid w:val="00DF52D9"/>
    <w:rsid w:val="00E01A52"/>
    <w:rsid w:val="00E1040C"/>
    <w:rsid w:val="00E13EC4"/>
    <w:rsid w:val="00E24353"/>
    <w:rsid w:val="00E332D2"/>
    <w:rsid w:val="00E6749D"/>
    <w:rsid w:val="00E765A4"/>
    <w:rsid w:val="00E8185E"/>
    <w:rsid w:val="00E84DCD"/>
    <w:rsid w:val="00E8733C"/>
    <w:rsid w:val="00E87451"/>
    <w:rsid w:val="00E92A4F"/>
    <w:rsid w:val="00EA03DC"/>
    <w:rsid w:val="00EA1166"/>
    <w:rsid w:val="00EA3B6C"/>
    <w:rsid w:val="00EA7A94"/>
    <w:rsid w:val="00EB4F87"/>
    <w:rsid w:val="00EE02C6"/>
    <w:rsid w:val="00EF6902"/>
    <w:rsid w:val="00F145B5"/>
    <w:rsid w:val="00F25154"/>
    <w:rsid w:val="00F26DA2"/>
    <w:rsid w:val="00F4134E"/>
    <w:rsid w:val="00F42097"/>
    <w:rsid w:val="00F4273A"/>
    <w:rsid w:val="00F445D6"/>
    <w:rsid w:val="00F552E3"/>
    <w:rsid w:val="00F66024"/>
    <w:rsid w:val="00F7514E"/>
    <w:rsid w:val="00F77A37"/>
    <w:rsid w:val="00F8144E"/>
    <w:rsid w:val="00F83DA4"/>
    <w:rsid w:val="00F86600"/>
    <w:rsid w:val="00FB48C9"/>
    <w:rsid w:val="00FB7358"/>
    <w:rsid w:val="00FD006E"/>
    <w:rsid w:val="00FF61E3"/>
    <w:rsid w:val="14B92CAA"/>
    <w:rsid w:val="1B5C211E"/>
    <w:rsid w:val="1C5605FF"/>
    <w:rsid w:val="2F214154"/>
    <w:rsid w:val="5D992699"/>
    <w:rsid w:val="6E8A7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199</Words>
  <Characters>1139</Characters>
  <Lines>9</Lines>
  <Paragraphs>2</Paragraphs>
  <TotalTime>0</TotalTime>
  <ScaleCrop>false</ScaleCrop>
  <LinksUpToDate>false</LinksUpToDate>
  <CharactersWithSpaces>1336</CharactersWithSpaces>
  <Application>WPS Office_11.1.0.8205_F1E327BC-269C-435d-A152-05C5408002CA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2018-10-24T06:28:00Z</dcterms:created>
  <dc:creator>jl</dc:creator>
  <cp:lastModifiedBy>孙锡敏︱CNTAC</cp:lastModifiedBy>
  <cp:lastPrinted>2016-10-28T01:04:00Z</cp:lastPrinted>
  <dcterms:modified xsi:type="dcterms:W3CDTF">2018-12-16T03:21:18Z</dcterms:modified>
  <dc:title>附件2：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